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12</w:t>
      </w:r>
    </w:p>
    <w:p>
      <w:r>
        <w:t>Bundesgericht (BGE), 1974-02-28, DE</w:t>
      </w:r>
    </w:p>
    <w:p>
      <w:r>
        <w:rPr>
          <w:b/>
        </w:rPr>
        <w:t xml:space="preserve">Quelle: </w:t>
      </w:r>
      <w:r>
        <w:t>https://mcp.opencaselaw.ch/entscheid/bge_100 III 12</w:t>
      </w:r>
    </w:p>
    <w:p>
      <w:r>
        <w:t>FR: ATF 100 III 12</w:t>
      </w:r>
    </w:p>
    <w:p>
      <w:r>
        <w:t>IT: DTF 100 III 12</w:t>
      </w:r>
    </w:p>
    <w:p>
      <w:pPr>
        <w:pStyle w:val="Heading2"/>
      </w:pPr>
      <w:r>
        <w:t>Regeste</w:t>
      </w:r>
    </w:p>
    <w:p>
      <w:r>
        <w:t>Regeste 1. Betreibungshandlungen während der Betreibungsferien (Art. 56 Ziff. 3 SchKG). Während der Betreibungsferien vorgenommene Betreibungshandlungen sind unwirksam, wenn sie gemäss ihrem Wortlaut sofort in Kraft treten sollen (Erw. 1). 2. Verdienstpfändung (Art. 93 SchKG). Der Schuldner hat Anspruch darauf, dass ihm gleichzeitig mit der Lohn- bzw. Verdienstpfändung die Grundlagen der Pfändung, wozu auch die Berechnung des Notbedarfs gehört, bekanntgegeben werden (Erw. 2).</w:t>
      </w:r>
    </w:p>
    <w:p>
      <w:pPr>
        <w:pStyle w:val="Heading2"/>
      </w:pPr>
      <w:r>
        <w:t>Erwägungen</w:t>
      </w:r>
    </w:p>
    <w:p>
      <w:r>
        <w:rPr>
          <w:b/>
        </w:rPr>
        <w:t>E. 1</w:t>
      </w:r>
    </w:p>
    <w:p>
      <w:r>
        <w:t>Gemäss Art. 56 Ziff. 3 SchKG dürfen Betreibungshandlungen während der Betreibungsferien nicht vorgenommen werden; zu den Betreibungsferien gehören auch sieben Tage vor und sieben Tage nach Weihnachten. Die Anzeige über die Verdienstpfändung, welche dem Schuldner am 19. Dezember 1973 mitgeteilt wurde, hätte ihm somit nicht zugestellt werden dürfen. Die Vorinstanz führte jedoch unter Hinweis auf die Rechtsprechung des Bundesgerichts im angefochtenen Entscheid aus, eine derartige Zustellung von Betreibungsakten während der Betreibungsferien sei weder nichtig noch aufzuheben, sondern der Akt beginne seine Wirkung erst am ersten Tag nach den Betreibungsferien zu entfalten. Im vorliegenden Fall bedeute dies, dass die notifizierte Verdienstpfändung erst ab Januar 1974 wirksam geworden sei. Richtig ist, dass in den von der Vorinstanz zitierten Entscheidungen des Bundesgerichts ( BGE 82 III 52 , BGE 67 III 69 und BGE 49 III 76 ) der Grundsatz aufgestellt wurde, eine während der Betreibungsferien vorgenommene Betreibungshandlung sei nicht in jedem Falle nichtig oder anfechtbar, sondern entfalte ihre Wirkung erst nach Ablauf der Betreibungsferien. Diese Rechtsprechung ist jedoch auf den vorliegenden Fall entgegen der Auffassung der Vorinstanz nicht anwendbar, weil das Betreibungsamt dem Schuldner in der Anzeige vom 17. Dezember 1973 unmissverständlich mitgeteilt hat, die Verdienstpfändung von Fr. 400.-- pro Monat trete sofort in Kraft. Daraus musste der Rekurrent entnehmen, er habe schon aus seinem Verdienst für den Monat Dezember 1973 die gepfändete Quote von Fr. 400.-- abzuliefern. Nach seiner Darstellung im Rekurs an das Bundesgericht hat er denn auch am 24. Dezember 1973 den Betrag von Fr. 400.-- dem Betreibungsamt überwiesen, um den angedrohten Straffolgen auf alle Fälle zu entgehen. Dieses Vorgehen des Betreibungsamtes war gesetzwidrig. Wenn das Amt ohne ersichtliche Notwendigkeit die Verdienstpfändung BGE 100 III 12 S. 15 dem Schuldner während der Betreibungsferien mitteilen wollte, so hätte es ihn ausdrücklich darauf aufmerksam machen müssen, dass die Pfändung erst nach Ablauf der Betreibungsferien und somit erst für den Januar 1974 in Kraft trete. Auf keinen Fall hätte es die Anzeige mit der Bemerkung, die fragliche Pfändung beginne sofort, versehen dürfen.</w:t>
      </w:r>
    </w:p>
    <w:p>
      <w:r>
        <w:rPr>
          <w:b/>
        </w:rPr>
        <w:t>E. 2</w:t>
      </w:r>
    </w:p>
    <w:p>
      <w:r>
        <w:t>Ein Schuldner, der unter der Androhung von Straffolgen angewiesen wird, einen Teil seines monatlichen Einkommens dem Betreibungsamt abzuliefern, hat einen unabdingbaren Anspruch darauf, dass ihm gleichzeitig mit dem Inkrafttreten der Verdienstpfändung mitgeteilt wird, wie die pfändbare Quote ermittelt worden ist. Dazu gehört auch die Bekanntgabe der Berechnung des Notbedarfs. Dieser Grundsatz ergibt sich sinngemäss aus den in BGE 65 III 70 /71 angestellten Erwägungen. Erst wenn der Schuldner die Grundlagen der Pfändung kennt, kann er sich darüber schlüssig werden, ob er diese anerkennen oder mit Beschwerde anfechten will. Es ist ihm nicht zuzumuten, ohne Kenntnis dieser Grundlagen Beträge von seinem Einkommen an das Betreibungsamt abzuliefern. Da das Amt überdies für die Festsetzung der pfändbaren Quote sowohl das massgebende Einkommen wie die erforderlichen Grundlagen für die Ermittlung des Notbedarfs kennen muss, besteht auch kein ausreichender Grund, diese der Pfändung zugrundeliegenden Tatsachen dem Schuldner nicht gleichzeitig mit der Pfändungsanzeige mitzuteilen. Der Rekurrent beschwert sich demnach in der Rekursschrift vom 23. Januar 1974 zu Recht darüber, dass er bisher weder eine Abschrift der Pfändungsurkunde noch eine Mitteilung über die Berechnung des Notbedarfs erhalten hat. Der Rekurs ist somit auch in dieser Beziehung begründet. Dispositiv Demnach erkennt die Schuldbetreibungs- und Konkurskammer: Der Rekurs wird gutgeheissen, und der Entscheid der kantonalen Aufsichtsbehörde vom 11. Januar 1974 sowie die Verfügung des Betreibungsamtes vom 17. Dezember 1973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